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0C4E8" w14:textId="77777777" w:rsidR="00B54629" w:rsidRPr="00E6404D" w:rsidRDefault="00B54629" w:rsidP="00B54629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14:paraId="365EFACF" w14:textId="77777777" w:rsidR="00B54629" w:rsidRPr="00E6404D" w:rsidRDefault="00B54629" w:rsidP="00B5462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14:paraId="74C89ADB" w14:textId="77777777" w:rsidR="00B54629" w:rsidRPr="00E6404D" w:rsidRDefault="00B54629" w:rsidP="00B5462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14:paraId="4EE9C496" w14:textId="77777777" w:rsidR="00B54629" w:rsidRPr="00E6404D" w:rsidRDefault="00B54629" w:rsidP="00B54629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14:paraId="7927803C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7B6F8484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03BAC93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C58372E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F49A6E5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37947679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591E200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897FAA8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5977E502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67995FBB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14:paraId="3CC86757" w14:textId="77777777" w:rsidR="009C65DF" w:rsidRPr="00E6404D" w:rsidRDefault="009C65DF" w:rsidP="009C65DF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bookmarkStart w:id="0" w:name="_Hlk137553696"/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14:paraId="6F3156C2" w14:textId="77777777" w:rsidR="009C65DF" w:rsidRDefault="009C65DF" w:rsidP="009C65DF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14:paraId="52DA4EBB" w14:textId="77777777" w:rsidR="009C65DF" w:rsidRPr="00655DF5" w:rsidRDefault="009C65DF" w:rsidP="009C65DF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bookmarkEnd w:id="0"/>
    <w:p w14:paraId="08965F8A" w14:textId="36931C6D" w:rsidR="00B54629" w:rsidRDefault="00B54629" w:rsidP="006E1544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BDBED4C" w14:textId="77777777" w:rsidR="00B54629" w:rsidRPr="00DA2F07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14:paraId="0F2B3DDB" w14:textId="24788DC1" w:rsidR="00B54629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>Контрольное мероприятие №</w:t>
      </w:r>
      <w:r w:rsidR="009C65DF">
        <w:rPr>
          <w:rFonts w:eastAsia="Calibri" w:cs="Times New Roman"/>
          <w:sz w:val="28"/>
          <w:szCs w:val="28"/>
        </w:rPr>
        <w:t>4</w:t>
      </w:r>
      <w:r w:rsidRPr="00FF4457">
        <w:rPr>
          <w:rFonts w:eastAsia="Calibri" w:cs="Times New Roman"/>
          <w:sz w:val="28"/>
          <w:szCs w:val="28"/>
        </w:rPr>
        <w:t xml:space="preserve"> </w:t>
      </w:r>
    </w:p>
    <w:p w14:paraId="08F0BDE7" w14:textId="77777777" w:rsidR="00B54629" w:rsidRPr="00DA2F07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FF4457">
        <w:rPr>
          <w:rFonts w:eastAsia="Calibri" w:cs="Times New Roman"/>
          <w:sz w:val="28"/>
          <w:szCs w:val="28"/>
        </w:rPr>
        <w:t xml:space="preserve">(электронное тестирование, </w:t>
      </w:r>
      <w:r>
        <w:rPr>
          <w:rFonts w:eastAsia="Calibri" w:cs="Times New Roman"/>
          <w:sz w:val="28"/>
          <w:szCs w:val="28"/>
        </w:rPr>
        <w:t>раздел Макроэкономика</w:t>
      </w:r>
      <w:r w:rsidRPr="00FF4457">
        <w:rPr>
          <w:rFonts w:eastAsia="Calibri" w:cs="Times New Roman"/>
          <w:sz w:val="28"/>
          <w:szCs w:val="28"/>
        </w:rPr>
        <w:t>)</w:t>
      </w:r>
    </w:p>
    <w:p w14:paraId="16B20D8F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47BEED4A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02A200B7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C022774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B03EC0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963F94F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2B600FF6" w14:textId="77777777" w:rsidR="00B54629" w:rsidRPr="00E6404D" w:rsidRDefault="00B54629" w:rsidP="00B54629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14:paraId="1F51160E" w14:textId="77777777" w:rsidR="00B54629" w:rsidRPr="00E6404D" w:rsidRDefault="00B54629" w:rsidP="00B54629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14:paraId="04C7C7B8" w14:textId="6AD386D1" w:rsidR="00B54629" w:rsidRPr="00E6404D" w:rsidRDefault="00B54629" w:rsidP="00B54629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C77FB9">
        <w:rPr>
          <w:rFonts w:eastAsia="Calibri" w:cs="Times New Roman"/>
          <w:sz w:val="28"/>
          <w:szCs w:val="28"/>
        </w:rPr>
        <w:t xml:space="preserve">к.э.н., доц., </w:t>
      </w:r>
      <w:proofErr w:type="spellStart"/>
      <w:r w:rsidR="009C65DF">
        <w:rPr>
          <w:rFonts w:eastAsia="Calibri" w:cs="Times New Roman"/>
          <w:sz w:val="28"/>
          <w:szCs w:val="28"/>
        </w:rPr>
        <w:t>Телюбаева</w:t>
      </w:r>
      <w:proofErr w:type="spellEnd"/>
      <w:r w:rsidR="009C65DF">
        <w:rPr>
          <w:rFonts w:eastAsia="Calibri" w:cs="Times New Roman"/>
          <w:sz w:val="28"/>
          <w:szCs w:val="28"/>
        </w:rPr>
        <w:t xml:space="preserve"> А.Ж.</w:t>
      </w:r>
    </w:p>
    <w:p w14:paraId="7F458CE5" w14:textId="77777777" w:rsidR="00B54629" w:rsidRPr="00E6404D" w:rsidRDefault="00B54629" w:rsidP="00B54629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14:paraId="2A3B3018" w14:textId="77777777" w:rsidR="00B54629" w:rsidRDefault="00B54629" w:rsidP="00B546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14:paraId="3BB0C8C8" w14:textId="1245A492" w:rsidR="00B54629" w:rsidRPr="00FF4457" w:rsidRDefault="00B54629" w:rsidP="00B54629">
      <w:pPr>
        <w:jc w:val="center"/>
        <w:rPr>
          <w:b/>
        </w:rPr>
      </w:pPr>
      <w:r>
        <w:rPr>
          <w:b/>
        </w:rPr>
        <w:t xml:space="preserve">ФОС </w:t>
      </w:r>
      <w:r w:rsidRPr="00FF4457">
        <w:rPr>
          <w:b/>
        </w:rPr>
        <w:t>Контрольное мероприятие №</w:t>
      </w:r>
      <w:r w:rsidR="009C65DF">
        <w:rPr>
          <w:b/>
        </w:rPr>
        <w:t>4</w:t>
      </w:r>
      <w:r w:rsidRPr="00FF4457">
        <w:rPr>
          <w:b/>
        </w:rPr>
        <w:t xml:space="preserve"> (электронное тестирование, раздел М</w:t>
      </w:r>
      <w:r w:rsidR="00D87964">
        <w:rPr>
          <w:b/>
        </w:rPr>
        <w:t>а</w:t>
      </w:r>
      <w:r w:rsidRPr="00FF4457">
        <w:rPr>
          <w:b/>
        </w:rPr>
        <w:t>кроэкономика)</w:t>
      </w:r>
    </w:p>
    <w:p w14:paraId="0813861D" w14:textId="77777777" w:rsidR="00B54629" w:rsidRPr="00191C72" w:rsidRDefault="00B54629" w:rsidP="00B54629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14:paraId="700CB7C3" w14:textId="77777777" w:rsidR="00B54629" w:rsidRPr="00191C72" w:rsidRDefault="00B54629" w:rsidP="00B54629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14:paraId="32F29AA5" w14:textId="35EBD2D4" w:rsidR="00B54629" w:rsidRPr="00DC656C" w:rsidRDefault="00B54629" w:rsidP="00B54629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 w:rsidR="009C65DF">
        <w:rPr>
          <w:rFonts w:eastAsia="Calibri" w:cs="Times New Roman"/>
          <w:bCs/>
          <w:i/>
          <w:sz w:val="24"/>
          <w:szCs w:val="24"/>
        </w:rPr>
        <w:t>4</w:t>
      </w:r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14:paraId="128FE59B" w14:textId="77777777" w:rsidR="00CE4DA7" w:rsidRDefault="00CE4DA7" w:rsidP="00CE4DA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eastAsia="Times New Roman" w:cs="Calibri"/>
          <w:sz w:val="24"/>
          <w:szCs w:val="24"/>
          <w:lang w:eastAsia="ru-RU"/>
        </w:rPr>
      </w:pPr>
      <w:bookmarkStart w:id="1" w:name="_Hlk137553759"/>
      <w:r>
        <w:rPr>
          <w:rFonts w:eastAsia="Times New Roman" w:cs="Calibri"/>
          <w:b/>
          <w:sz w:val="24"/>
          <w:szCs w:val="24"/>
          <w:lang w:eastAsia="ru-RU"/>
        </w:rPr>
        <w:t>УК-2</w:t>
      </w:r>
      <w:r>
        <w:rPr>
          <w:rFonts w:eastAsia="Times New Roman" w:cs="Calibri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bookmarkEnd w:id="1"/>
    <w:p w14:paraId="7C962313" w14:textId="77777777" w:rsidR="00B54629" w:rsidRPr="00B54629" w:rsidRDefault="00B54629" w:rsidP="00B54629">
      <w:pPr>
        <w:rPr>
          <w:b/>
          <w:sz w:val="24"/>
          <w:szCs w:val="24"/>
        </w:rPr>
      </w:pPr>
    </w:p>
    <w:p w14:paraId="26CC8697" w14:textId="76F050FF" w:rsidR="00B54629" w:rsidRDefault="00B54629" w:rsidP="00B54629">
      <w:pPr>
        <w:rPr>
          <w:b/>
          <w:sz w:val="24"/>
          <w:szCs w:val="24"/>
        </w:rPr>
      </w:pPr>
      <w:r w:rsidRPr="00C77FB9">
        <w:rPr>
          <w:b/>
          <w:sz w:val="24"/>
          <w:szCs w:val="24"/>
        </w:rPr>
        <w:t>Теоретические задания</w:t>
      </w:r>
      <w:r>
        <w:rPr>
          <w:b/>
          <w:sz w:val="24"/>
          <w:szCs w:val="24"/>
        </w:rPr>
        <w:t xml:space="preserve"> в тестовой форме</w:t>
      </w:r>
      <w:r w:rsidRPr="00C77FB9">
        <w:rPr>
          <w:b/>
          <w:sz w:val="24"/>
          <w:szCs w:val="24"/>
        </w:rPr>
        <w:t xml:space="preserve"> (УК-</w:t>
      </w:r>
      <w:r w:rsidR="00CE4DA7">
        <w:rPr>
          <w:b/>
          <w:sz w:val="24"/>
          <w:szCs w:val="24"/>
        </w:rPr>
        <w:t>2</w:t>
      </w:r>
      <w:r w:rsidRPr="00C77FB9">
        <w:rPr>
          <w:b/>
          <w:sz w:val="24"/>
          <w:szCs w:val="24"/>
        </w:rPr>
        <w:t>)</w:t>
      </w:r>
    </w:p>
    <w:p w14:paraId="050125BA" w14:textId="7A9B9153" w:rsidR="009C65DF" w:rsidRPr="009C65DF" w:rsidRDefault="009C65DF" w:rsidP="009C65DF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Агрегат М1 более ликвиден, чем</w:t>
      </w:r>
      <w:r w:rsidRPr="009C65DF">
        <w:rPr>
          <w:sz w:val="24"/>
          <w:szCs w:val="24"/>
        </w:rPr>
        <w:t>:</w:t>
      </w:r>
    </w:p>
    <w:p w14:paraId="61317386" w14:textId="77777777" w:rsidR="009C65DF" w:rsidRPr="009C65DF" w:rsidRDefault="009C65DF" w:rsidP="009C65D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М2;</w:t>
      </w:r>
    </w:p>
    <w:p w14:paraId="616D3FAA" w14:textId="4129CE65" w:rsidR="009C65DF" w:rsidRPr="009C65DF" w:rsidRDefault="009C65DF" w:rsidP="009C65D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М0;</w:t>
      </w:r>
    </w:p>
    <w:p w14:paraId="373052C5" w14:textId="7BDFD60C" w:rsidR="009C65DF" w:rsidRPr="009C65DF" w:rsidRDefault="009C65DF" w:rsidP="009C65D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денежная база;</w:t>
      </w:r>
    </w:p>
    <w:p w14:paraId="53E42CA0" w14:textId="55239700" w:rsidR="009C65DF" w:rsidRPr="009C65DF" w:rsidRDefault="009C65DF" w:rsidP="009C65D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наличные деньги;</w:t>
      </w:r>
    </w:p>
    <w:p w14:paraId="073E1CFB" w14:textId="77777777" w:rsidR="009C65DF" w:rsidRP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4BDBE743" w14:textId="62DAAFEA" w:rsidR="009C65DF" w:rsidRPr="009C65DF" w:rsidRDefault="009C65DF" w:rsidP="009C65DF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Величина денежного агрегата М2 отличается от М1 на сумму</w:t>
      </w:r>
      <w:r>
        <w:rPr>
          <w:sz w:val="24"/>
          <w:szCs w:val="24"/>
        </w:rPr>
        <w:t>:</w:t>
      </w:r>
    </w:p>
    <w:p w14:paraId="4E43DA0B" w14:textId="5164B297" w:rsidR="009C65DF" w:rsidRPr="009C65DF" w:rsidRDefault="009C65DF" w:rsidP="009C65D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государственных краткосрочных облигаций;</w:t>
      </w:r>
    </w:p>
    <w:p w14:paraId="1C10B6A2" w14:textId="1F2431A9" w:rsidR="009C65DF" w:rsidRPr="009C65DF" w:rsidRDefault="009C65DF" w:rsidP="009C65D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срочных депозитов;</w:t>
      </w:r>
    </w:p>
    <w:p w14:paraId="483B2823" w14:textId="4A91DBF6" w:rsidR="009C65DF" w:rsidRPr="009C65DF" w:rsidRDefault="009C65DF" w:rsidP="009C65D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сберегательных вкладов;</w:t>
      </w:r>
    </w:p>
    <w:p w14:paraId="207FA4E7" w14:textId="58B055B7" w:rsidR="009C65DF" w:rsidRPr="009C65DF" w:rsidRDefault="009C65DF" w:rsidP="009C65DF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депозитных сертификатов;</w:t>
      </w:r>
    </w:p>
    <w:p w14:paraId="40AD670E" w14:textId="77777777" w:rsid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02D27C75" w14:textId="459D1747" w:rsidR="009C65DF" w:rsidRPr="009C65DF" w:rsidRDefault="009C65DF" w:rsidP="009C65DF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9C65DF">
        <w:rPr>
          <w:sz w:val="24"/>
          <w:szCs w:val="24"/>
        </w:rPr>
        <w:t>Если в экономике инфляция, то центральный банк должен</w:t>
      </w:r>
      <w:r w:rsidRPr="009C65DF">
        <w:rPr>
          <w:sz w:val="24"/>
          <w:szCs w:val="24"/>
        </w:rPr>
        <w:t>:</w:t>
      </w:r>
    </w:p>
    <w:p w14:paraId="7F369F11" w14:textId="7FD53627" w:rsidR="009C65DF" w:rsidRPr="00246587" w:rsidRDefault="009C65DF" w:rsidP="0024658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повысить учетную ставку процента;</w:t>
      </w:r>
    </w:p>
    <w:p w14:paraId="6D815898" w14:textId="318B6CDB" w:rsidR="009C65DF" w:rsidRPr="00246587" w:rsidRDefault="009C65DF" w:rsidP="0024658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купить государственные ценные бумаги;</w:t>
      </w:r>
    </w:p>
    <w:p w14:paraId="16309E28" w14:textId="4CDBDC9C" w:rsidR="009C65DF" w:rsidRPr="00246587" w:rsidRDefault="009C65DF" w:rsidP="0024658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снизить учетную ставку процента;</w:t>
      </w:r>
    </w:p>
    <w:p w14:paraId="62301D66" w14:textId="29AB185A" w:rsidR="009C65DF" w:rsidRPr="00246587" w:rsidRDefault="009C65DF" w:rsidP="00246587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снизить норму обязательных резервов;</w:t>
      </w:r>
    </w:p>
    <w:p w14:paraId="1ABA717E" w14:textId="77777777" w:rsid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33E8E203" w14:textId="2AD31A59" w:rsidR="009C65DF" w:rsidRPr="00246587" w:rsidRDefault="009C65DF" w:rsidP="00246587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Е</w:t>
      </w:r>
      <w:r w:rsidRPr="00246587">
        <w:rPr>
          <w:sz w:val="24"/>
          <w:szCs w:val="24"/>
        </w:rPr>
        <w:t>сли центральный банк снизит учетную ставку процента</w:t>
      </w:r>
      <w:r w:rsidRPr="00246587">
        <w:rPr>
          <w:sz w:val="24"/>
          <w:szCs w:val="24"/>
        </w:rPr>
        <w:t>:</w:t>
      </w:r>
    </w:p>
    <w:p w14:paraId="08335BC5" w14:textId="23D1F9B5" w:rsidR="009C65DF" w:rsidRPr="00246587" w:rsidRDefault="009C65DF" w:rsidP="00246587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увеличится предложение денег, а рыночная ставка процента уменьшится;</w:t>
      </w:r>
    </w:p>
    <w:p w14:paraId="35543D67" w14:textId="49655365" w:rsidR="009C65DF" w:rsidRPr="00246587" w:rsidRDefault="009C65DF" w:rsidP="00246587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уменьшатся спрос на деньги и рыночная ставка процента;</w:t>
      </w:r>
    </w:p>
    <w:p w14:paraId="7BC47207" w14:textId="4F3D1DD6" w:rsidR="009C65DF" w:rsidRPr="00246587" w:rsidRDefault="009C65DF" w:rsidP="00246587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увеличатся спрос на деньги и рыночная ставка процента;</w:t>
      </w:r>
    </w:p>
    <w:p w14:paraId="3A578009" w14:textId="76AE73E7" w:rsidR="009C65DF" w:rsidRPr="00246587" w:rsidRDefault="009C65DF" w:rsidP="00246587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увеличатся предложение денег и ставка процента;</w:t>
      </w:r>
    </w:p>
    <w:p w14:paraId="4877F286" w14:textId="77777777" w:rsid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68874777" w14:textId="72BD9870" w:rsidR="009C65DF" w:rsidRPr="00246587" w:rsidRDefault="009C65DF" w:rsidP="00246587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Зависимость между показателем ликвидности и показателем доходности денежных агрегатов</w:t>
      </w:r>
      <w:r w:rsidRPr="00246587">
        <w:rPr>
          <w:sz w:val="24"/>
          <w:szCs w:val="24"/>
        </w:rPr>
        <w:t>:</w:t>
      </w:r>
    </w:p>
    <w:p w14:paraId="28CD90D9" w14:textId="1DA16AF8" w:rsidR="009C65DF" w:rsidRPr="00246587" w:rsidRDefault="009C65DF" w:rsidP="0024658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о</w:t>
      </w:r>
      <w:r w:rsidRPr="00246587">
        <w:rPr>
          <w:sz w:val="24"/>
          <w:szCs w:val="24"/>
        </w:rPr>
        <w:t>братная</w:t>
      </w:r>
    </w:p>
    <w:p w14:paraId="713AAEE5" w14:textId="54915DEC" w:rsidR="009C65DF" w:rsidRPr="00246587" w:rsidRDefault="009C65DF" w:rsidP="0024658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прямая пропорциональная;</w:t>
      </w:r>
    </w:p>
    <w:p w14:paraId="73546DC4" w14:textId="67CCF88E" w:rsidR="009C65DF" w:rsidRPr="00246587" w:rsidRDefault="009C65DF" w:rsidP="0024658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прямая, но не пропорциональная;</w:t>
      </w:r>
    </w:p>
    <w:p w14:paraId="0903EBAC" w14:textId="3D6846EA" w:rsidR="009C65DF" w:rsidRPr="00246587" w:rsidRDefault="009C65DF" w:rsidP="0024658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отсутствует;</w:t>
      </w:r>
    </w:p>
    <w:p w14:paraId="23308535" w14:textId="77777777" w:rsid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51E09681" w14:textId="51813080" w:rsidR="009C65DF" w:rsidRPr="00246587" w:rsidRDefault="009C65DF" w:rsidP="00246587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Исходя из «уравнения обмена» И. Фишера спрос на деньги находится в обратной зависимости от</w:t>
      </w:r>
      <w:r w:rsidRPr="00246587">
        <w:rPr>
          <w:sz w:val="24"/>
          <w:szCs w:val="24"/>
        </w:rPr>
        <w:t>:</w:t>
      </w:r>
    </w:p>
    <w:p w14:paraId="2FFABCD0" w14:textId="647544FD" w:rsidR="009C65DF" w:rsidRPr="00246587" w:rsidRDefault="009C65DF" w:rsidP="00246587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скорости обращения денег;</w:t>
      </w:r>
    </w:p>
    <w:p w14:paraId="412A4B42" w14:textId="01E490C8" w:rsidR="009C65DF" w:rsidRPr="00246587" w:rsidRDefault="009C65DF" w:rsidP="00246587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абсолютного уровня цен;</w:t>
      </w:r>
    </w:p>
    <w:p w14:paraId="0E95F8B3" w14:textId="3892E73A" w:rsidR="009C65DF" w:rsidRPr="00246587" w:rsidRDefault="009C65DF" w:rsidP="00246587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уровня реального объема производства;</w:t>
      </w:r>
    </w:p>
    <w:p w14:paraId="00DBCAD2" w14:textId="77777777" w:rsid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5CF61EA3" w14:textId="08A6829F" w:rsidR="009C65DF" w:rsidRPr="00246587" w:rsidRDefault="009C65DF" w:rsidP="00246587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lastRenderedPageBreak/>
        <w:t>К инструментам денежно-кредитной политики относится</w:t>
      </w:r>
      <w:r w:rsidRPr="00246587">
        <w:rPr>
          <w:sz w:val="24"/>
          <w:szCs w:val="24"/>
        </w:rPr>
        <w:t>:</w:t>
      </w:r>
    </w:p>
    <w:p w14:paraId="69024029" w14:textId="76BD7A1B" w:rsidR="009C65DF" w:rsidRPr="00246587" w:rsidRDefault="009C65DF" w:rsidP="00246587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снижение учетной ставки;</w:t>
      </w:r>
    </w:p>
    <w:p w14:paraId="166442C8" w14:textId="5E024D13" w:rsidR="009C65DF" w:rsidRPr="00246587" w:rsidRDefault="009C65DF" w:rsidP="00246587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повышение государственных расходов;</w:t>
      </w:r>
    </w:p>
    <w:p w14:paraId="1F62BCFD" w14:textId="1953C811" w:rsidR="009C65DF" w:rsidRPr="00246587" w:rsidRDefault="009C65DF" w:rsidP="00246587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снижение трансфертных платежей;</w:t>
      </w:r>
    </w:p>
    <w:p w14:paraId="29F8F095" w14:textId="3E2EF8CF" w:rsidR="009C65DF" w:rsidRPr="00246587" w:rsidRDefault="009C65DF" w:rsidP="00246587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повышение автономных налогов;</w:t>
      </w:r>
    </w:p>
    <w:p w14:paraId="0106CD7B" w14:textId="77777777" w:rsid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6ED3D0AC" w14:textId="3EB4DAEC" w:rsidR="009C65DF" w:rsidRPr="00246587" w:rsidRDefault="009C65DF" w:rsidP="00246587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Норма обязательных резервов для коммерческих банков представляет собой фиксированный процент от</w:t>
      </w:r>
      <w:r w:rsidRPr="00246587">
        <w:rPr>
          <w:sz w:val="24"/>
          <w:szCs w:val="24"/>
        </w:rPr>
        <w:t>:</w:t>
      </w:r>
    </w:p>
    <w:p w14:paraId="4EF951BE" w14:textId="2B0C05BA" w:rsidR="009C65DF" w:rsidRPr="00246587" w:rsidRDefault="009C65DF" w:rsidP="00246587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депозитов</w:t>
      </w:r>
    </w:p>
    <w:p w14:paraId="4DC1B838" w14:textId="074472F6" w:rsidR="009C65DF" w:rsidRPr="00246587" w:rsidRDefault="009C65DF" w:rsidP="00246587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кредитов;</w:t>
      </w:r>
    </w:p>
    <w:p w14:paraId="1BC52027" w14:textId="67FAF84B" w:rsidR="009C65DF" w:rsidRPr="00246587" w:rsidRDefault="009C65DF" w:rsidP="00246587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активов;</w:t>
      </w:r>
    </w:p>
    <w:p w14:paraId="746F298B" w14:textId="2214468A" w:rsidR="009C65DF" w:rsidRPr="00246587" w:rsidRDefault="009C65DF" w:rsidP="00246587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собственного капитала;</w:t>
      </w:r>
    </w:p>
    <w:p w14:paraId="320FCBE3" w14:textId="77777777" w:rsid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76E3D7C8" w14:textId="29AE6781" w:rsidR="009C65DF" w:rsidRPr="00246587" w:rsidRDefault="009C65DF" w:rsidP="00246587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Операции на открытом рынке предполагают</w:t>
      </w:r>
      <w:r w:rsidRPr="00246587">
        <w:rPr>
          <w:sz w:val="24"/>
          <w:szCs w:val="24"/>
        </w:rPr>
        <w:t>:</w:t>
      </w:r>
    </w:p>
    <w:p w14:paraId="1DDA05C6" w14:textId="7EE2E82E" w:rsidR="009C65DF" w:rsidRPr="00246587" w:rsidRDefault="009C65DF" w:rsidP="00246587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покупку и продажу государственных ценных бумаг центральным банком;</w:t>
      </w:r>
    </w:p>
    <w:p w14:paraId="501C48FB" w14:textId="61F23AEC" w:rsidR="009C65DF" w:rsidRPr="00246587" w:rsidRDefault="009C65DF" w:rsidP="00246587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увеличение объема продаж инвестиционных ценных бумаг на мировых рынках;</w:t>
      </w:r>
    </w:p>
    <w:p w14:paraId="6828AD08" w14:textId="24CB66A6" w:rsidR="009C65DF" w:rsidRPr="00246587" w:rsidRDefault="009C65DF" w:rsidP="00246587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покупку и продажу иностранной валюты коммерческими банками;</w:t>
      </w:r>
    </w:p>
    <w:p w14:paraId="7B8302AA" w14:textId="2A2DABE6" w:rsidR="009C65DF" w:rsidRPr="00246587" w:rsidRDefault="009C65DF" w:rsidP="00246587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покупку и продажу акции и облигации населением на фондовом рынке;</w:t>
      </w:r>
    </w:p>
    <w:p w14:paraId="7105F43A" w14:textId="77777777" w:rsid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158C369C" w14:textId="6797A728" w:rsidR="009C65DF" w:rsidRPr="00246587" w:rsidRDefault="009C65DF" w:rsidP="00246587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Рост нормы обязательных резервов</w:t>
      </w:r>
      <w:r w:rsidRPr="00246587">
        <w:rPr>
          <w:sz w:val="24"/>
          <w:szCs w:val="24"/>
        </w:rPr>
        <w:t>:</w:t>
      </w:r>
    </w:p>
    <w:p w14:paraId="3F17B3B9" w14:textId="352855DF" w:rsidR="009C65DF" w:rsidRPr="00246587" w:rsidRDefault="009C65DF" w:rsidP="00246587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увеличивает пассивы коммерческих банков сокращает активы коммерческих банков;</w:t>
      </w:r>
    </w:p>
    <w:p w14:paraId="0B568AC4" w14:textId="67731224" w:rsidR="009C65DF" w:rsidRPr="00246587" w:rsidRDefault="009C65DF" w:rsidP="00246587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увеличивает активы коммерческих банков;</w:t>
      </w:r>
    </w:p>
    <w:p w14:paraId="12162A6B" w14:textId="448BEFE1" w:rsidR="009C65DF" w:rsidRPr="00246587" w:rsidRDefault="009C65DF" w:rsidP="00246587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сокращает депозиты фирм и домохозяйств в коммерческих банках;</w:t>
      </w:r>
    </w:p>
    <w:p w14:paraId="7765FA99" w14:textId="6209AF04" w:rsidR="009C65DF" w:rsidRP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2824B3E9" w14:textId="26A6CCE3" w:rsidR="009C65DF" w:rsidRPr="00246587" w:rsidRDefault="009C65DF" w:rsidP="00246587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Ставка процента, под которую Центральный банк предоставляет коммерческим банкам кредит для покрытия временного недостатка их резервов</w:t>
      </w:r>
      <w:r w:rsidRPr="00246587">
        <w:rPr>
          <w:sz w:val="24"/>
          <w:szCs w:val="24"/>
        </w:rPr>
        <w:t>:</w:t>
      </w:r>
    </w:p>
    <w:p w14:paraId="2316B814" w14:textId="477E6DCB" w:rsidR="009C65DF" w:rsidRPr="00246587" w:rsidRDefault="009C65DF" w:rsidP="00246587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учетная ставка процента;</w:t>
      </w:r>
    </w:p>
    <w:p w14:paraId="39A0A737" w14:textId="5846E387" w:rsidR="009C65DF" w:rsidRPr="00246587" w:rsidRDefault="009C65DF" w:rsidP="00246587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процентная ставка по ипотечным кредитам;</w:t>
      </w:r>
    </w:p>
    <w:p w14:paraId="633BBB8D" w14:textId="3293A9A1" w:rsidR="009C65DF" w:rsidRPr="00246587" w:rsidRDefault="009C65DF" w:rsidP="00246587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процентная ставка по потребительским кредитам;</w:t>
      </w:r>
    </w:p>
    <w:p w14:paraId="0596F082" w14:textId="65DF5B6E" w:rsidR="009C65DF" w:rsidRPr="00246587" w:rsidRDefault="009C65DF" w:rsidP="00246587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процентная ставка по срочным вкладам;</w:t>
      </w:r>
    </w:p>
    <w:p w14:paraId="1FCF3F5A" w14:textId="77777777" w:rsidR="009C65DF" w:rsidRP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5730DFC5" w14:textId="61BA21B1" w:rsidR="009C65DF" w:rsidRPr="00246587" w:rsidRDefault="009C65DF" w:rsidP="00246587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Стимулирующая денежно-кредитная политика предполагает</w:t>
      </w:r>
      <w:r w:rsidRPr="00246587">
        <w:rPr>
          <w:sz w:val="24"/>
          <w:szCs w:val="24"/>
        </w:rPr>
        <w:t>:</w:t>
      </w:r>
    </w:p>
    <w:p w14:paraId="09057118" w14:textId="44C371EA" w:rsidR="009C65DF" w:rsidRPr="00246587" w:rsidRDefault="009C65DF" w:rsidP="0024658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покупка Центральным банком государственных ценных бумаг на открытом рынке;</w:t>
      </w:r>
    </w:p>
    <w:p w14:paraId="30D0681B" w14:textId="18F5E784" w:rsidR="009C65DF" w:rsidRPr="00246587" w:rsidRDefault="009C65DF" w:rsidP="0024658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снижение трансфертных платежей;</w:t>
      </w:r>
    </w:p>
    <w:p w14:paraId="4636AB1A" w14:textId="2CBF6DB3" w:rsidR="009C65DF" w:rsidRPr="00246587" w:rsidRDefault="009C65DF" w:rsidP="0024658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 xml:space="preserve">продажу </w:t>
      </w:r>
      <w:bookmarkStart w:id="2" w:name="_GoBack"/>
      <w:bookmarkEnd w:id="2"/>
      <w:r w:rsidRPr="00246587">
        <w:rPr>
          <w:sz w:val="24"/>
          <w:szCs w:val="24"/>
        </w:rPr>
        <w:t>Центральным банком государственных ценных бумаг на открытом рынке;</w:t>
      </w:r>
    </w:p>
    <w:p w14:paraId="3A4ECF60" w14:textId="46E02F17" w:rsidR="009C65DF" w:rsidRPr="00246587" w:rsidRDefault="009C65DF" w:rsidP="0024658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246587">
        <w:rPr>
          <w:sz w:val="24"/>
          <w:szCs w:val="24"/>
        </w:rPr>
        <w:t>снижение автономных налогов;</w:t>
      </w:r>
    </w:p>
    <w:p w14:paraId="7C7661ED" w14:textId="57792736" w:rsidR="009C65DF" w:rsidRP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6497A8F2" w14:textId="77777777" w:rsidR="009C65DF" w:rsidRPr="009C65DF" w:rsidRDefault="009C65DF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44199D80" w14:textId="4C14A4A7" w:rsidR="00466BEC" w:rsidRPr="00466BEC" w:rsidRDefault="00466BEC" w:rsidP="009C65DF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</w:p>
    <w:p w14:paraId="7191A585" w14:textId="77777777" w:rsidR="00B54629" w:rsidRPr="00466BEC" w:rsidRDefault="00B54629" w:rsidP="00387850">
      <w:pPr>
        <w:spacing w:after="0" w:line="240" w:lineRule="auto"/>
        <w:rPr>
          <w:sz w:val="24"/>
          <w:szCs w:val="24"/>
        </w:rPr>
      </w:pPr>
    </w:p>
    <w:sectPr w:rsidR="00B54629" w:rsidRPr="00466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B05EA"/>
    <w:multiLevelType w:val="hybridMultilevel"/>
    <w:tmpl w:val="0484BC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1098F"/>
    <w:multiLevelType w:val="hybridMultilevel"/>
    <w:tmpl w:val="1B32D5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469AE"/>
    <w:multiLevelType w:val="hybridMultilevel"/>
    <w:tmpl w:val="07B28E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B1284"/>
    <w:multiLevelType w:val="hybridMultilevel"/>
    <w:tmpl w:val="C6EAB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05039"/>
    <w:multiLevelType w:val="hybridMultilevel"/>
    <w:tmpl w:val="D30299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5314E"/>
    <w:multiLevelType w:val="hybridMultilevel"/>
    <w:tmpl w:val="52BC87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47BA6"/>
    <w:multiLevelType w:val="hybridMultilevel"/>
    <w:tmpl w:val="AD02D9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77B8C"/>
    <w:multiLevelType w:val="hybridMultilevel"/>
    <w:tmpl w:val="DD523A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32BF3"/>
    <w:multiLevelType w:val="hybridMultilevel"/>
    <w:tmpl w:val="ADE0ED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668E2"/>
    <w:multiLevelType w:val="hybridMultilevel"/>
    <w:tmpl w:val="E6ACF1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477E8"/>
    <w:multiLevelType w:val="hybridMultilevel"/>
    <w:tmpl w:val="AC7223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17475"/>
    <w:multiLevelType w:val="hybridMultilevel"/>
    <w:tmpl w:val="F1863B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C68FC"/>
    <w:multiLevelType w:val="hybridMultilevel"/>
    <w:tmpl w:val="D52208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03CA4"/>
    <w:multiLevelType w:val="hybridMultilevel"/>
    <w:tmpl w:val="21AC3B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F385E"/>
    <w:multiLevelType w:val="hybridMultilevel"/>
    <w:tmpl w:val="3E546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D4356"/>
    <w:multiLevelType w:val="hybridMultilevel"/>
    <w:tmpl w:val="1EA608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F761EB"/>
    <w:multiLevelType w:val="hybridMultilevel"/>
    <w:tmpl w:val="7D06D4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871CB"/>
    <w:multiLevelType w:val="hybridMultilevel"/>
    <w:tmpl w:val="889C65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3A32"/>
    <w:multiLevelType w:val="hybridMultilevel"/>
    <w:tmpl w:val="BFB87C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621AF"/>
    <w:multiLevelType w:val="hybridMultilevel"/>
    <w:tmpl w:val="F926A8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A2520"/>
    <w:multiLevelType w:val="hybridMultilevel"/>
    <w:tmpl w:val="0750C7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41A11"/>
    <w:multiLevelType w:val="hybridMultilevel"/>
    <w:tmpl w:val="434C37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9"/>
  </w:num>
  <w:num w:numId="4">
    <w:abstractNumId w:val="11"/>
  </w:num>
  <w:num w:numId="5">
    <w:abstractNumId w:val="20"/>
  </w:num>
  <w:num w:numId="6">
    <w:abstractNumId w:val="9"/>
  </w:num>
  <w:num w:numId="7">
    <w:abstractNumId w:val="5"/>
  </w:num>
  <w:num w:numId="8">
    <w:abstractNumId w:val="15"/>
  </w:num>
  <w:num w:numId="9">
    <w:abstractNumId w:val="1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17"/>
  </w:num>
  <w:num w:numId="15">
    <w:abstractNumId w:val="8"/>
  </w:num>
  <w:num w:numId="16">
    <w:abstractNumId w:val="6"/>
  </w:num>
  <w:num w:numId="17">
    <w:abstractNumId w:val="18"/>
  </w:num>
  <w:num w:numId="18">
    <w:abstractNumId w:val="2"/>
  </w:num>
  <w:num w:numId="19">
    <w:abstractNumId w:val="0"/>
  </w:num>
  <w:num w:numId="20">
    <w:abstractNumId w:val="13"/>
  </w:num>
  <w:num w:numId="21">
    <w:abstractNumId w:val="16"/>
  </w:num>
  <w:num w:numId="22">
    <w:abstractNumId w:val="7"/>
  </w:num>
  <w:num w:numId="23">
    <w:abstractNumId w:val="2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29"/>
    <w:rsid w:val="000B7308"/>
    <w:rsid w:val="001C30C0"/>
    <w:rsid w:val="00246587"/>
    <w:rsid w:val="00387850"/>
    <w:rsid w:val="00466BEC"/>
    <w:rsid w:val="00487007"/>
    <w:rsid w:val="005F4899"/>
    <w:rsid w:val="006E1544"/>
    <w:rsid w:val="00763DC0"/>
    <w:rsid w:val="009C65DF"/>
    <w:rsid w:val="009E5473"/>
    <w:rsid w:val="00B52D93"/>
    <w:rsid w:val="00B54629"/>
    <w:rsid w:val="00CE4DA7"/>
    <w:rsid w:val="00D14325"/>
    <w:rsid w:val="00D85C0B"/>
    <w:rsid w:val="00D8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A916"/>
  <w15:docId w15:val="{AB9F4B0C-3BA5-41A5-8476-070FD358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4629"/>
    <w:pPr>
      <w:spacing w:after="160" w:line="259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6BE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466BEC"/>
  </w:style>
  <w:style w:type="paragraph" w:styleId="a4">
    <w:name w:val="List Paragraph"/>
    <w:basedOn w:val="a"/>
    <w:uiPriority w:val="34"/>
    <w:qFormat/>
    <w:rsid w:val="009C6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19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49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3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762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51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2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58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06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2</cp:revision>
  <dcterms:created xsi:type="dcterms:W3CDTF">2023-06-13T08:13:00Z</dcterms:created>
  <dcterms:modified xsi:type="dcterms:W3CDTF">2023-06-13T08:13:00Z</dcterms:modified>
</cp:coreProperties>
</file>